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93E88" w14:textId="0122A09F" w:rsidR="007A667E" w:rsidRDefault="00C21C39">
      <w:r>
        <w:t xml:space="preserve">Geachte ministers en </w:t>
      </w:r>
      <w:r w:rsidR="00633B9E">
        <w:t>leden van de Tweede Kamer</w:t>
      </w:r>
      <w:r>
        <w:t>,</w:t>
      </w:r>
    </w:p>
    <w:p w14:paraId="7A70AEA9" w14:textId="77777777" w:rsidR="007A667E" w:rsidRDefault="007A667E"/>
    <w:p w14:paraId="4FE97FA1" w14:textId="77777777" w:rsidR="007A667E" w:rsidRDefault="00C21C39">
      <w:r>
        <w:t xml:space="preserve">Graag benaderen wij u namens […]. </w:t>
      </w:r>
    </w:p>
    <w:p w14:paraId="4BD2359B" w14:textId="77777777" w:rsidR="007A667E" w:rsidRDefault="007A667E"/>
    <w:p w14:paraId="5A5F4749" w14:textId="77777777" w:rsidR="007A667E" w:rsidRDefault="007A667E"/>
    <w:p w14:paraId="143E9C68" w14:textId="39DC8801" w:rsidR="007A667E" w:rsidRDefault="00C21C39">
      <w:r>
        <w:t xml:space="preserve">De energiecrisis vraagt veel van onze samenleving. Huishoudens en bedrijven doen hun uiterste best om de financiële klappen op te vangen. </w:t>
      </w:r>
      <w:r w:rsidR="00DF3332" w:rsidRPr="00DF3332">
        <w:t xml:space="preserve">Door de aanhoudend hoge energieprijzen dreigt een groot aantal glastuinbouwbedrijven in onze regio op korte termijn in grote continuïteitsproblemen te komen. Wij maken ons </w:t>
      </w:r>
      <w:r w:rsidR="008C03D2">
        <w:t xml:space="preserve">ernstig </w:t>
      </w:r>
      <w:r w:rsidR="00DF3332" w:rsidRPr="00DF3332">
        <w:t xml:space="preserve">zorgen over de gevolgen hiervan voor de regio en </w:t>
      </w:r>
      <w:r w:rsidR="008C03D2">
        <w:t>de</w:t>
      </w:r>
      <w:r w:rsidR="007571A2">
        <w:t xml:space="preserve"> lokale</w:t>
      </w:r>
      <w:r w:rsidR="008C03D2">
        <w:t xml:space="preserve"> samenleving</w:t>
      </w:r>
      <w:r w:rsidR="00DF3332" w:rsidRPr="00DF3332">
        <w:t>.</w:t>
      </w:r>
      <w:r w:rsidR="00DF3332">
        <w:t xml:space="preserve"> </w:t>
      </w:r>
      <w:r>
        <w:t>Achter deze zichtbare last zien wij dat de energietransitie, waar</w:t>
      </w:r>
      <w:r w:rsidR="00DF3332">
        <w:t>in</w:t>
      </w:r>
      <w:r>
        <w:t xml:space="preserve"> het glastuinbouwcluster een grote rol speelt</w:t>
      </w:r>
      <w:r w:rsidR="007571A2">
        <w:t>,</w:t>
      </w:r>
      <w:r>
        <w:t xml:space="preserve"> volledig stil dreigt te vallen.</w:t>
      </w:r>
    </w:p>
    <w:p w14:paraId="4102EFF0" w14:textId="77777777" w:rsidR="007A667E" w:rsidRDefault="007A667E"/>
    <w:p w14:paraId="28BB9FD5" w14:textId="32A56DE8" w:rsidR="007A667E" w:rsidRDefault="00C21C39">
      <w:r>
        <w:t xml:space="preserve">Hier vragen wij aandacht voor en verzoeken </w:t>
      </w:r>
      <w:r w:rsidR="00633B9E">
        <w:t xml:space="preserve">u </w:t>
      </w:r>
      <w:r>
        <w:t>om tot passende maatregelen voor de glastuinbouw</w:t>
      </w:r>
      <w:r w:rsidR="008C03D2">
        <w:t>sector</w:t>
      </w:r>
      <w:r>
        <w:t xml:space="preserve"> te komen</w:t>
      </w:r>
      <w:r w:rsidR="00633B9E">
        <w:t>.</w:t>
      </w:r>
      <w:r w:rsidR="007571A2">
        <w:t xml:space="preserve"> </w:t>
      </w:r>
      <w:r w:rsidR="00633B9E">
        <w:t>Dan</w:t>
      </w:r>
      <w:r w:rsidR="007571A2">
        <w:t xml:space="preserve"> komt </w:t>
      </w:r>
      <w:r>
        <w:t xml:space="preserve">de continuïteit van de bedrijven </w:t>
      </w:r>
      <w:r w:rsidR="00DF3332">
        <w:t xml:space="preserve">niet in de knel, </w:t>
      </w:r>
      <w:r w:rsidR="007571A2">
        <w:t xml:space="preserve">blijven de </w:t>
      </w:r>
      <w:r w:rsidR="00DF3332">
        <w:t xml:space="preserve">effecten op onze regio en </w:t>
      </w:r>
      <w:r w:rsidR="007571A2">
        <w:t xml:space="preserve">de lokale </w:t>
      </w:r>
      <w:r w:rsidR="008C03D2">
        <w:t>samenleving</w:t>
      </w:r>
      <w:r w:rsidR="00DF3332">
        <w:t xml:space="preserve"> beperkt </w:t>
      </w:r>
      <w:r>
        <w:t xml:space="preserve">en </w:t>
      </w:r>
      <w:r w:rsidR="007571A2">
        <w:t xml:space="preserve">wordt de voortgang van </w:t>
      </w:r>
      <w:r>
        <w:t xml:space="preserve">de energietransitie </w:t>
      </w:r>
      <w:r w:rsidR="00DF3332">
        <w:t>veilig gesteld</w:t>
      </w:r>
      <w:r>
        <w:t>.</w:t>
      </w:r>
    </w:p>
    <w:p w14:paraId="40EF7975" w14:textId="77777777" w:rsidR="007A667E" w:rsidRDefault="007A667E"/>
    <w:p w14:paraId="3E13577E" w14:textId="6D0D1C21" w:rsidR="007A667E" w:rsidRDefault="00C21C39">
      <w:r>
        <w:t xml:space="preserve">Vanuit </w:t>
      </w:r>
      <w:r w:rsidR="00E9315B">
        <w:t xml:space="preserve">…….( </w:t>
      </w:r>
      <w:r w:rsidR="00E9315B" w:rsidRPr="00633B9E">
        <w:rPr>
          <w:highlight w:val="yellow"/>
        </w:rPr>
        <w:t>zelf invullen</w:t>
      </w:r>
      <w:r w:rsidR="00E9315B">
        <w:t>) ….</w:t>
      </w:r>
      <w:r>
        <w:t>doen wij per direct</w:t>
      </w:r>
      <w:r w:rsidR="00633B9E">
        <w:t>,</w:t>
      </w:r>
      <w:r>
        <w:t xml:space="preserve"> samen met de stakeholders van het tuinbouwcluster</w:t>
      </w:r>
      <w:r w:rsidR="00633B9E">
        <w:t>,</w:t>
      </w:r>
      <w:r w:rsidR="0019566C">
        <w:t xml:space="preserve"> een dringende oproep aan het K</w:t>
      </w:r>
      <w:r>
        <w:t xml:space="preserve">abinet en de </w:t>
      </w:r>
      <w:r w:rsidR="007571A2">
        <w:t>T</w:t>
      </w:r>
      <w:r>
        <w:t xml:space="preserve">weede </w:t>
      </w:r>
      <w:r w:rsidR="007571A2">
        <w:t>K</w:t>
      </w:r>
      <w:r>
        <w:t>amer om zich daar stevig voor in te zetten.</w:t>
      </w:r>
    </w:p>
    <w:p w14:paraId="07105C63" w14:textId="77777777" w:rsidR="007A667E" w:rsidRDefault="007A667E"/>
    <w:p w14:paraId="3869A73F" w14:textId="03158499" w:rsidR="00DF3332" w:rsidRDefault="00DF3332">
      <w:pPr>
        <w:rPr>
          <w:b/>
          <w:u w:val="single"/>
        </w:rPr>
      </w:pPr>
      <w:r>
        <w:rPr>
          <w:b/>
          <w:u w:val="single"/>
        </w:rPr>
        <w:t>Impact op regio en inwoners is groot</w:t>
      </w:r>
    </w:p>
    <w:p w14:paraId="6B8C955B" w14:textId="0B4AB19C" w:rsidR="00DF3332" w:rsidRDefault="00DF3332"/>
    <w:p w14:paraId="48DAF19F" w14:textId="1A61E69E" w:rsidR="00DF3332" w:rsidRDefault="00DF3332" w:rsidP="00DF3332">
      <w:r>
        <w:t>Driekwart jaar geleden voorspelde Rabobank Nederland samen met Glastuinbouw Nederland al dat 40 procent van de glastuinbouwbedrijven in financiële problemen komt, als de situatie niet verbetert. En de situatie is niet verbeterd, maar zelfs verslechterd. Op dit moment is er een extreme prijspiek in de energieprijzen</w:t>
      </w:r>
      <w:r w:rsidR="007571A2">
        <w:t xml:space="preserve">. De prijzen liggen </w:t>
      </w:r>
      <w:r w:rsidR="0019566C">
        <w:t>twintig</w:t>
      </w:r>
      <w:r w:rsidR="007571A2">
        <w:t xml:space="preserve"> keer hoger dan </w:t>
      </w:r>
      <w:r>
        <w:t xml:space="preserve"> de energieprijs van een jaar geleden. Daarnaast zijn ook andere grondstoffen fors duurder geworden. Het ziet er naar uit dat </w:t>
      </w:r>
      <w:r w:rsidR="007571A2">
        <w:t xml:space="preserve">veel </w:t>
      </w:r>
      <w:r>
        <w:t>glastuinbouwondernemers hun teelt stopzetten deze winter</w:t>
      </w:r>
      <w:r w:rsidR="00633B9E">
        <w:t>,</w:t>
      </w:r>
      <w:r>
        <w:t xml:space="preserve"> of zelfs hun bedrijf noodgedwongen definitief moeten beëindigen.</w:t>
      </w:r>
    </w:p>
    <w:p w14:paraId="4B8C674B" w14:textId="77777777" w:rsidR="00DF3332" w:rsidRPr="00633B9E" w:rsidRDefault="00DF3332"/>
    <w:p w14:paraId="21918DC4" w14:textId="75DEA3D8" w:rsidR="00DF3332" w:rsidRDefault="00DF3332">
      <w:pPr>
        <w:rPr>
          <w:u w:val="single"/>
        </w:rPr>
      </w:pPr>
      <w:r>
        <w:t>De gevolgen hiervan zijn enorm. Wij zien dat glastuinbouwbedrijven, toeleveringsbedrijven, handel en afnemers in de gehele keten worden geraakt. Direct en indirect zullen er arbeidsplaatsen verdwijnen met alle gevolgen van dien voor onze regio en</w:t>
      </w:r>
      <w:r w:rsidR="007571A2">
        <w:t xml:space="preserve"> de lokale samenleving</w:t>
      </w:r>
      <w:r>
        <w:t>.</w:t>
      </w:r>
    </w:p>
    <w:p w14:paraId="567CE714" w14:textId="77777777" w:rsidR="00DF3332" w:rsidRDefault="00DF3332">
      <w:pPr>
        <w:rPr>
          <w:u w:val="single"/>
        </w:rPr>
      </w:pPr>
    </w:p>
    <w:p w14:paraId="19B4ECC0" w14:textId="00397C7E" w:rsidR="007A667E" w:rsidRDefault="00C21C39">
      <w:pPr>
        <w:rPr>
          <w:b/>
          <w:bCs/>
          <w:u w:val="single"/>
        </w:rPr>
      </w:pPr>
      <w:r>
        <w:rPr>
          <w:u w:val="single"/>
        </w:rPr>
        <w:t>De e</w:t>
      </w:r>
      <w:r>
        <w:rPr>
          <w:b/>
          <w:bCs/>
          <w:u w:val="single"/>
        </w:rPr>
        <w:t>nergietransitie moet doorgaan.</w:t>
      </w:r>
    </w:p>
    <w:p w14:paraId="4CEB50B9" w14:textId="77777777" w:rsidR="007A667E" w:rsidRDefault="007A667E"/>
    <w:p w14:paraId="7A84B447" w14:textId="1A18722A" w:rsidR="007A667E" w:rsidRDefault="00C21C39">
      <w:r>
        <w:t>Het tuinbouwcluster</w:t>
      </w:r>
      <w:r w:rsidR="0019566C">
        <w:t>,</w:t>
      </w:r>
      <w:r>
        <w:t xml:space="preserve"> waar </w:t>
      </w:r>
      <w:r w:rsidR="0019566C">
        <w:t xml:space="preserve">de </w:t>
      </w:r>
      <w:r>
        <w:t xml:space="preserve">glastuinbouw onder valt, ziet voor zichzelf een grote rol weggelegd in de energietransitie in Nederland. Een transitie waar Nederland graag in wil excelleren.  </w:t>
      </w:r>
    </w:p>
    <w:p w14:paraId="5004F749" w14:textId="77777777" w:rsidR="007A667E" w:rsidRDefault="007A667E"/>
    <w:p w14:paraId="698F9025" w14:textId="0CBD8552" w:rsidR="007A667E" w:rsidRDefault="00C21C39">
      <w:r>
        <w:t xml:space="preserve">Wat helaas onderbelicht blijft, is dat de glastuinbouw als sector een stabiele factor is op ons elektriciteitsnet. Zo wordt zo’n 10% van de elektriciteitsbehoefte </w:t>
      </w:r>
      <w:r w:rsidR="0019566C">
        <w:t xml:space="preserve">in Nederland </w:t>
      </w:r>
      <w:r>
        <w:t>decentraal door de glastuinbouwsector efficiënt opgewekt. Ook investeren glastuinbouwondernemers in geothermie, waarmee indirect woningen, zwembaden en bedrijven worden verwarmd.</w:t>
      </w:r>
    </w:p>
    <w:p w14:paraId="4399D979" w14:textId="77777777" w:rsidR="007A667E" w:rsidRDefault="007A667E"/>
    <w:p w14:paraId="0038BE5E" w14:textId="6B527AF4" w:rsidR="007A667E" w:rsidRDefault="00C21C39">
      <w:r>
        <w:t xml:space="preserve">De glastuinbouwsector investeert al decennia in energiebesparing en verduurzaming. Deze investeringen komen nu onder druk te staan of worden zelfs geheel onmogelijk. Enerzijds </w:t>
      </w:r>
      <w:r>
        <w:lastRenderedPageBreak/>
        <w:t>vanwege het gebrek aan investeringsruimte door glastuinbouwbedrijven</w:t>
      </w:r>
      <w:r w:rsidR="00633B9E">
        <w:t>,</w:t>
      </w:r>
      <w:r>
        <w:t xml:space="preserve"> door het wegvloeien van reserves</w:t>
      </w:r>
      <w:r w:rsidR="00633B9E">
        <w:t>, a</w:t>
      </w:r>
      <w:r>
        <w:t>nderzijds door het feit dat banken zich, vanwege het ontbreken van enige vorm van borgstelling door de Rijksoverheid, terughoudend opstellen.</w:t>
      </w:r>
    </w:p>
    <w:p w14:paraId="1BEBD399" w14:textId="77777777" w:rsidR="007A667E" w:rsidRDefault="00C21C39">
      <w:r>
        <w:t xml:space="preserve">Oplossingen voor de korte termijn zijn van groot belang! </w:t>
      </w:r>
    </w:p>
    <w:p w14:paraId="3737AC17" w14:textId="77777777" w:rsidR="007A667E" w:rsidRDefault="007A667E"/>
    <w:p w14:paraId="7145C76C" w14:textId="77777777" w:rsidR="00D97097" w:rsidRPr="00202E79" w:rsidRDefault="00D97097" w:rsidP="00D97097">
      <w:pPr>
        <w:rPr>
          <w:b/>
          <w:bCs/>
          <w:u w:val="single"/>
        </w:rPr>
      </w:pPr>
      <w:r w:rsidRPr="00202E79">
        <w:rPr>
          <w:b/>
          <w:bCs/>
          <w:u w:val="single"/>
        </w:rPr>
        <w:t>Tuinbouw innovaties doen er toe</w:t>
      </w:r>
    </w:p>
    <w:p w14:paraId="1D005DAB" w14:textId="77777777" w:rsidR="00D97097" w:rsidRDefault="00D97097" w:rsidP="00D97097"/>
    <w:p w14:paraId="32161E19" w14:textId="52523A5F" w:rsidR="00D97097" w:rsidRDefault="00D97097" w:rsidP="00D97097">
      <w:r>
        <w:t xml:space="preserve">Het tuinbouwcluster is een </w:t>
      </w:r>
      <w:proofErr w:type="spellStart"/>
      <w:r>
        <w:t>eco-systeem</w:t>
      </w:r>
      <w:proofErr w:type="spellEnd"/>
      <w:r w:rsidR="0019566C">
        <w:t xml:space="preserve"> </w:t>
      </w:r>
      <w:r>
        <w:t>waar innovaties voor een gezonde en vitale samenleving centraal staan. Denk aan de ontwikkelingen voor biologische gewasbescherming, nieuwe vitale en weerbare rassen, efficiënt water</w:t>
      </w:r>
      <w:r w:rsidR="00633B9E">
        <w:t>-</w:t>
      </w:r>
      <w:r>
        <w:t xml:space="preserve"> en nutriëntengebruik, slimme logistieke ketens etc</w:t>
      </w:r>
      <w:r w:rsidR="00633B9E">
        <w:t>.</w:t>
      </w:r>
    </w:p>
    <w:p w14:paraId="170496A6" w14:textId="17E34B9A" w:rsidR="00D97097" w:rsidRDefault="00D97097" w:rsidP="00D97097">
      <w:r>
        <w:t xml:space="preserve">Nederland is wereldwijd </w:t>
      </w:r>
      <w:r w:rsidR="00633B9E">
        <w:t xml:space="preserve">koploper </w:t>
      </w:r>
      <w:r>
        <w:t xml:space="preserve">als het gaat om oplossingen om de groeiende wereldbevolking een breed en gezond voedselpakket aan te bieden, daarnaast zorgt </w:t>
      </w:r>
      <w:r w:rsidR="00633B9E">
        <w:t>het</w:t>
      </w:r>
      <w:r w:rsidR="00633B9E">
        <w:t xml:space="preserve"> </w:t>
      </w:r>
      <w:r>
        <w:t>siertee</w:t>
      </w:r>
      <w:r w:rsidR="0019566C">
        <w:t>l</w:t>
      </w:r>
      <w:r w:rsidR="00633B9E">
        <w:t xml:space="preserve">tcluster </w:t>
      </w:r>
      <w:r>
        <w:t>voor kleur en groen in de samenleving</w:t>
      </w:r>
      <w:r w:rsidR="00633B9E">
        <w:t>.</w:t>
      </w:r>
      <w:r w:rsidR="0019566C">
        <w:t xml:space="preserve"> </w:t>
      </w:r>
      <w:r>
        <w:t xml:space="preserve">We hebben niet voor niets het </w:t>
      </w:r>
      <w:r w:rsidR="0019566C">
        <w:t>predicaat</w:t>
      </w:r>
      <w:r>
        <w:t xml:space="preserve"> </w:t>
      </w:r>
      <w:r w:rsidR="00633B9E">
        <w:t>‘</w:t>
      </w:r>
      <w:r>
        <w:t>Topsector</w:t>
      </w:r>
      <w:r w:rsidR="00633B9E">
        <w:t>’</w:t>
      </w:r>
      <w:r>
        <w:t>, waarmee we een omgeving en voorwaarden creëren om continu te werken aan die koppositie met mondiale impact.</w:t>
      </w:r>
      <w:r w:rsidR="0019566C">
        <w:t xml:space="preserve"> </w:t>
      </w:r>
      <w:r>
        <w:t>Door sanering van de glastuinbouw komt dit</w:t>
      </w:r>
      <w:r w:rsidR="0019566C">
        <w:t xml:space="preserve"> </w:t>
      </w:r>
      <w:proofErr w:type="spellStart"/>
      <w:r w:rsidR="0019566C">
        <w:t>eco-systeem</w:t>
      </w:r>
      <w:proofErr w:type="spellEnd"/>
      <w:r w:rsidR="0019566C">
        <w:t xml:space="preserve"> zwaar onder druk. D</w:t>
      </w:r>
      <w:r>
        <w:t xml:space="preserve">it willen wij voorkomen en vragen </w:t>
      </w:r>
      <w:r w:rsidR="00633B9E">
        <w:t>u</w:t>
      </w:r>
      <w:r>
        <w:t>w hulp daarbij.</w:t>
      </w:r>
    </w:p>
    <w:p w14:paraId="565E0DD7" w14:textId="77777777" w:rsidR="00D97097" w:rsidRDefault="00D97097"/>
    <w:p w14:paraId="30BE19F9" w14:textId="193394ED" w:rsidR="007A667E" w:rsidRDefault="00C21C39">
      <w:r>
        <w:t>Zonder concrete maatregelen voor de korte termijn verdwijn</w:t>
      </w:r>
      <w:r w:rsidR="00633B9E">
        <w:t>en</w:t>
      </w:r>
      <w:r>
        <w:t xml:space="preserve"> ook het langetermijnperspectief, de energietransitie en </w:t>
      </w:r>
      <w:r w:rsidR="00633B9E">
        <w:t xml:space="preserve">het </w:t>
      </w:r>
      <w:r>
        <w:t xml:space="preserve">belang uit beeld. </w:t>
      </w:r>
    </w:p>
    <w:p w14:paraId="07F72693" w14:textId="77777777" w:rsidR="007A667E" w:rsidRDefault="007A667E"/>
    <w:p w14:paraId="036BD9DD" w14:textId="77777777" w:rsidR="007A667E" w:rsidRDefault="00C21C39">
      <w:pPr>
        <w:rPr>
          <w:b/>
          <w:bCs/>
        </w:rPr>
      </w:pPr>
      <w:r>
        <w:rPr>
          <w:b/>
          <w:bCs/>
        </w:rPr>
        <w:t>Dit vragen wij:</w:t>
      </w:r>
    </w:p>
    <w:p w14:paraId="06541652" w14:textId="77777777" w:rsidR="007F4AB4" w:rsidRDefault="00C21C39">
      <w:pPr>
        <w:pStyle w:val="Lijstalinea"/>
        <w:numPr>
          <w:ilvl w:val="0"/>
          <w:numId w:val="3"/>
        </w:numPr>
      </w:pPr>
      <w:r>
        <w:t>Een beleid en maatregelen om een stabilisering van de energieprijzen te bereiken.</w:t>
      </w:r>
      <w:r w:rsidR="007F4AB4">
        <w:t xml:space="preserve"> </w:t>
      </w:r>
    </w:p>
    <w:p w14:paraId="276B0242" w14:textId="77777777" w:rsidR="007F4AB4" w:rsidRDefault="007F4AB4" w:rsidP="00633B9E">
      <w:pPr>
        <w:pStyle w:val="Lijstalinea"/>
        <w:numPr>
          <w:ilvl w:val="1"/>
          <w:numId w:val="3"/>
        </w:numPr>
      </w:pPr>
      <w:r>
        <w:t>Andere Europese landen maken gebruik van het Europese steunpakket. Liggen hier ook mogelijkheden voor Nederland?</w:t>
      </w:r>
    </w:p>
    <w:p w14:paraId="4F426A67" w14:textId="77777777" w:rsidR="007F4AB4" w:rsidRDefault="007F4AB4" w:rsidP="00633B9E">
      <w:pPr>
        <w:pStyle w:val="Lijstalinea"/>
        <w:numPr>
          <w:ilvl w:val="1"/>
          <w:numId w:val="3"/>
        </w:numPr>
      </w:pPr>
      <w:r>
        <w:t>Stabilisatie van de energiemarkt is van groot belang om als glasbedrijf te kunnen anticiperen met de bedrijfsvoering. Zet Nederland zich hier wel voldoende voor in? Wellicht liggen er mogelijkheden in het advies van de Mijnraad?</w:t>
      </w:r>
    </w:p>
    <w:p w14:paraId="41F8D5BF" w14:textId="6AE4FA4C" w:rsidR="007F4AB4" w:rsidRDefault="007F4AB4" w:rsidP="00633B9E">
      <w:pPr>
        <w:pStyle w:val="Lijstalinea"/>
        <w:numPr>
          <w:ilvl w:val="1"/>
          <w:numId w:val="3"/>
        </w:numPr>
      </w:pPr>
      <w:r>
        <w:t xml:space="preserve">In berichtgeving kwam naar voren dat Nederland een meevaller heeft van 20 miljard euro ten gevolge van de hoge gasprijs. Wellicht kan een deel van deze meevaller </w:t>
      </w:r>
      <w:r w:rsidR="00633B9E">
        <w:t xml:space="preserve">worden </w:t>
      </w:r>
      <w:r>
        <w:t>besteed aan oplossingen?</w:t>
      </w:r>
    </w:p>
    <w:p w14:paraId="14411993" w14:textId="6BD8E2BF" w:rsidR="007F4AB4" w:rsidRDefault="007F4AB4" w:rsidP="007F4AB4">
      <w:pPr>
        <w:pStyle w:val="Lijstalinea"/>
        <w:numPr>
          <w:ilvl w:val="0"/>
          <w:numId w:val="3"/>
        </w:numPr>
      </w:pPr>
      <w:r>
        <w:t>Een adequaat en ondersteunend beleid van de ministeries</w:t>
      </w:r>
      <w:r w:rsidR="0019566C">
        <w:t>, in de vorm van</w:t>
      </w:r>
      <w:r>
        <w:t xml:space="preserve"> borgstellingen voor de bedrijven en een hulppakket</w:t>
      </w:r>
      <w:r w:rsidR="0019566C">
        <w:t xml:space="preserve">. Om </w:t>
      </w:r>
      <w:r>
        <w:t xml:space="preserve">te voorkomen dat de </w:t>
      </w:r>
      <w:r w:rsidR="00633B9E">
        <w:t>continuïteit</w:t>
      </w:r>
      <w:r>
        <w:t>sproblemen vergroten en de ingezette ontwikkeling op de energietransitie stil komt te vallen.</w:t>
      </w:r>
    </w:p>
    <w:p w14:paraId="288D6ABD" w14:textId="77777777" w:rsidR="007F4AB4" w:rsidRPr="007F4AB4" w:rsidRDefault="007F4AB4" w:rsidP="007F4AB4">
      <w:pPr>
        <w:rPr>
          <w:color w:val="262626"/>
          <w:szCs w:val="18"/>
          <w:u w:color="262626"/>
          <w:shd w:val="clear" w:color="auto" w:fill="FFFFFF"/>
        </w:rPr>
      </w:pPr>
    </w:p>
    <w:p w14:paraId="77C19585" w14:textId="0ED127FB" w:rsidR="007A667E" w:rsidRDefault="007A667E"/>
    <w:p w14:paraId="4195A6D6" w14:textId="1D800100" w:rsidR="00D04205" w:rsidRDefault="00D04205"/>
    <w:p w14:paraId="52B30DDA" w14:textId="6891891A" w:rsidR="00D04205" w:rsidRDefault="00D04205"/>
    <w:p w14:paraId="4F83031E" w14:textId="145F076A" w:rsidR="00C83951" w:rsidRDefault="00C83951">
      <w:r>
        <w:t>(….</w:t>
      </w:r>
      <w:r w:rsidRPr="00633B9E">
        <w:rPr>
          <w:highlight w:val="yellow"/>
        </w:rPr>
        <w:t>De afzender, zelf invullen</w:t>
      </w:r>
      <w:r>
        <w:t>…)</w:t>
      </w:r>
    </w:p>
    <w:tbl>
      <w:tblPr>
        <w:tblStyle w:val="TableNormal"/>
        <w:tblW w:w="906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1"/>
      </w:tblGrid>
      <w:tr w:rsidR="007A667E" w14:paraId="6DFCF21A" w14:textId="77777777">
        <w:trPr>
          <w:trHeight w:val="12431"/>
        </w:trPr>
        <w:tc>
          <w:tcPr>
            <w:tcW w:w="9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1F67E" w14:textId="3C93815B" w:rsidR="007A667E" w:rsidRDefault="00C21C39">
            <w:pPr>
              <w:rPr>
                <w:b/>
                <w:bCs/>
              </w:rPr>
            </w:pPr>
            <w:r>
              <w:rPr>
                <w:b/>
                <w:bCs/>
              </w:rPr>
              <w:lastRenderedPageBreak/>
              <w:t xml:space="preserve">Sociaal economische betekenis van </w:t>
            </w:r>
            <w:r w:rsidR="00D97097">
              <w:rPr>
                <w:b/>
                <w:bCs/>
              </w:rPr>
              <w:t>het</w:t>
            </w:r>
            <w:r w:rsidR="0019566C">
              <w:rPr>
                <w:b/>
                <w:bCs/>
              </w:rPr>
              <w:t xml:space="preserve"> tuinbouw</w:t>
            </w:r>
            <w:bookmarkStart w:id="0" w:name="_GoBack"/>
            <w:bookmarkEnd w:id="0"/>
            <w:r>
              <w:rPr>
                <w:b/>
                <w:bCs/>
              </w:rPr>
              <w:t>cluster:</w:t>
            </w:r>
          </w:p>
          <w:p w14:paraId="72AA1E41" w14:textId="77777777" w:rsidR="007A667E" w:rsidRDefault="007A667E"/>
          <w:p w14:paraId="0357A5B1" w14:textId="77777777" w:rsidR="007A667E" w:rsidRDefault="00C21C39">
            <w:pPr>
              <w:rPr>
                <w:b/>
                <w:bCs/>
              </w:rPr>
            </w:pPr>
            <w:r>
              <w:rPr>
                <w:b/>
                <w:bCs/>
              </w:rPr>
              <w:t>Het tuinbouwcluster, waardig Topsector van de Nederlandse economie</w:t>
            </w:r>
          </w:p>
          <w:p w14:paraId="547C375D" w14:textId="77777777" w:rsidR="007A667E" w:rsidRDefault="00C21C39">
            <w:pPr>
              <w:rPr>
                <w:i/>
                <w:iCs/>
                <w:sz w:val="20"/>
                <w:szCs w:val="20"/>
              </w:rPr>
            </w:pPr>
            <w:r>
              <w:rPr>
                <w:i/>
                <w:iCs/>
                <w:sz w:val="20"/>
                <w:szCs w:val="20"/>
              </w:rPr>
              <w:t xml:space="preserve">(cijfers CBS en </w:t>
            </w:r>
            <w:proofErr w:type="spellStart"/>
            <w:r>
              <w:rPr>
                <w:i/>
                <w:iCs/>
                <w:sz w:val="20"/>
                <w:szCs w:val="20"/>
              </w:rPr>
              <w:t>WEcR</w:t>
            </w:r>
            <w:proofErr w:type="spellEnd"/>
            <w:r>
              <w:rPr>
                <w:i/>
                <w:iCs/>
                <w:sz w:val="20"/>
                <w:szCs w:val="20"/>
              </w:rPr>
              <w:t>; juni 2020)</w:t>
            </w:r>
          </w:p>
          <w:p w14:paraId="3C64D03D" w14:textId="77777777" w:rsidR="007A667E" w:rsidRDefault="00C21C39">
            <w:r>
              <w:t>Het tuinbouwcluster is het samenhangend geheel van productie, handel en verwerking van sierteelt en groenten &amp; fruit, van uitgangsmateriaal, van de aanverwante technologie en dienstverlening en onderwijs en kennisinstellingen. Tuinbouw &amp; Uitgangsmaterialen is één van de Topsectoren. Het cluster heeft de volgende kenmerken:</w:t>
            </w:r>
          </w:p>
          <w:p w14:paraId="02958BC1" w14:textId="77777777" w:rsidR="007A667E" w:rsidRDefault="00C21C39">
            <w:pPr>
              <w:pStyle w:val="Lijstalinea"/>
              <w:numPr>
                <w:ilvl w:val="0"/>
                <w:numId w:val="4"/>
              </w:numPr>
              <w:spacing w:after="160" w:line="259" w:lineRule="auto"/>
            </w:pPr>
            <w:r>
              <w:t xml:space="preserve">Ruim 20.000 bedrijven </w:t>
            </w:r>
          </w:p>
          <w:p w14:paraId="3E1F2B8D" w14:textId="77777777" w:rsidR="007A667E" w:rsidRDefault="00C21C39">
            <w:pPr>
              <w:pStyle w:val="Lijstalinea"/>
              <w:numPr>
                <w:ilvl w:val="0"/>
                <w:numId w:val="4"/>
              </w:numPr>
              <w:spacing w:after="160" w:line="259" w:lineRule="auto"/>
            </w:pPr>
            <w:r>
              <w:t>Werkgelegenheid (2018): 300.000 banen (254.000 FTE)</w:t>
            </w:r>
          </w:p>
          <w:p w14:paraId="4CD6A228" w14:textId="77777777" w:rsidR="007A667E" w:rsidRDefault="00C21C39">
            <w:pPr>
              <w:pStyle w:val="Lijstalinea"/>
              <w:numPr>
                <w:ilvl w:val="1"/>
                <w:numId w:val="4"/>
              </w:numPr>
              <w:spacing w:after="160" w:line="259" w:lineRule="auto"/>
            </w:pPr>
            <w:r>
              <w:t>Loonsom 2 miljard euro per jaar</w:t>
            </w:r>
          </w:p>
          <w:p w14:paraId="6117B285" w14:textId="77777777" w:rsidR="007A667E" w:rsidRDefault="00C21C39">
            <w:pPr>
              <w:pStyle w:val="Lijstalinea"/>
              <w:numPr>
                <w:ilvl w:val="0"/>
                <w:numId w:val="4"/>
              </w:numPr>
              <w:spacing w:after="160" w:line="259" w:lineRule="auto"/>
            </w:pPr>
            <w:r>
              <w:t>Productieareaal: ruim 100.000 ha</w:t>
            </w:r>
          </w:p>
          <w:p w14:paraId="652877EC" w14:textId="77777777" w:rsidR="007A667E" w:rsidRDefault="00C21C39">
            <w:pPr>
              <w:pStyle w:val="Lijstalinea"/>
              <w:numPr>
                <w:ilvl w:val="0"/>
                <w:numId w:val="4"/>
              </w:numPr>
              <w:spacing w:after="160" w:line="259" w:lineRule="auto"/>
            </w:pPr>
            <w:r>
              <w:t>Productiewaarde (2018): 27,9 miljard euro</w:t>
            </w:r>
          </w:p>
          <w:p w14:paraId="5C8D903E" w14:textId="77777777" w:rsidR="007A667E" w:rsidRDefault="00C21C39">
            <w:pPr>
              <w:pStyle w:val="Lijstalinea"/>
              <w:numPr>
                <w:ilvl w:val="0"/>
                <w:numId w:val="4"/>
              </w:numPr>
              <w:spacing w:after="160" w:line="259" w:lineRule="auto"/>
            </w:pPr>
            <w:r>
              <w:t>Toegevoegde waarde (2018): direct 11,8 miljard euro; gehele complex 21,1 miljard euro</w:t>
            </w:r>
          </w:p>
          <w:p w14:paraId="3DE38FDD" w14:textId="77777777" w:rsidR="007A667E" w:rsidRDefault="00C21C39">
            <w:pPr>
              <w:pStyle w:val="Lijstalinea"/>
              <w:numPr>
                <w:ilvl w:val="0"/>
                <w:numId w:val="4"/>
              </w:numPr>
              <w:spacing w:after="160" w:line="259" w:lineRule="auto"/>
            </w:pPr>
            <w:r>
              <w:t>Exportwaarde (2019): 24,5 miljard euro (¾ binnenlands product; ¼ buitenlands product)</w:t>
            </w:r>
          </w:p>
          <w:p w14:paraId="5E12D5FE" w14:textId="77777777" w:rsidR="007A667E" w:rsidRDefault="00C21C39">
            <w:pPr>
              <w:pStyle w:val="Lijstalinea"/>
              <w:numPr>
                <w:ilvl w:val="0"/>
                <w:numId w:val="4"/>
              </w:numPr>
              <w:spacing w:after="160" w:line="259" w:lineRule="auto"/>
            </w:pPr>
            <w:r>
              <w:t>Importwaarde (2019): 11,5 miljard euro</w:t>
            </w:r>
          </w:p>
          <w:p w14:paraId="13A860C5" w14:textId="77777777" w:rsidR="007A667E" w:rsidRDefault="00C21C39">
            <w:pPr>
              <w:pStyle w:val="Lijstalinea"/>
              <w:numPr>
                <w:ilvl w:val="0"/>
                <w:numId w:val="4"/>
              </w:numPr>
              <w:spacing w:after="160" w:line="259" w:lineRule="auto"/>
            </w:pPr>
            <w:r>
              <w:t>Sterke internationale oriëntatie én positie</w:t>
            </w:r>
          </w:p>
          <w:p w14:paraId="3D9523D5" w14:textId="77777777" w:rsidR="007A667E" w:rsidRDefault="00C21C39">
            <w:pPr>
              <w:pStyle w:val="Lijstalinea"/>
              <w:numPr>
                <w:ilvl w:val="1"/>
                <w:numId w:val="4"/>
              </w:numPr>
              <w:spacing w:after="160" w:line="259" w:lineRule="auto"/>
            </w:pPr>
            <w:r>
              <w:t>Export bereik: ruim 150 landen; thuismarkt Europa is veruit grootste afzetgebied</w:t>
            </w:r>
          </w:p>
          <w:p w14:paraId="1D8C7A0C" w14:textId="77777777" w:rsidR="007A667E" w:rsidRDefault="00C21C39">
            <w:pPr>
              <w:pStyle w:val="Lijstalinea"/>
              <w:numPr>
                <w:ilvl w:val="1"/>
                <w:numId w:val="4"/>
              </w:numPr>
              <w:spacing w:after="160" w:line="259" w:lineRule="auto"/>
            </w:pPr>
            <w:proofErr w:type="spellStart"/>
            <w:r>
              <w:t>Sourcing</w:t>
            </w:r>
            <w:proofErr w:type="spellEnd"/>
            <w:r>
              <w:t xml:space="preserve"> import: ruim 130 landen</w:t>
            </w:r>
          </w:p>
          <w:p w14:paraId="3132E5C4" w14:textId="77777777" w:rsidR="007A667E" w:rsidRDefault="00C21C39">
            <w:pPr>
              <w:pStyle w:val="Lijstalinea"/>
              <w:numPr>
                <w:ilvl w:val="1"/>
                <w:numId w:val="4"/>
              </w:numPr>
              <w:spacing w:after="160" w:line="259" w:lineRule="auto"/>
            </w:pPr>
            <w:r>
              <w:t>Als internationale draaischijf van tuinbouwproducten cruciaal voor andere landen</w:t>
            </w:r>
          </w:p>
          <w:p w14:paraId="08A56E04" w14:textId="77777777" w:rsidR="007A667E" w:rsidRDefault="00C21C39">
            <w:pPr>
              <w:pStyle w:val="Lijstalinea"/>
              <w:numPr>
                <w:ilvl w:val="1"/>
                <w:numId w:val="4"/>
              </w:numPr>
              <w:spacing w:after="160" w:line="259" w:lineRule="auto"/>
            </w:pPr>
            <w:r>
              <w:t>Als leverancier van kennis bijdragend aan ontwikkeling van regio’s en landen</w:t>
            </w:r>
          </w:p>
          <w:p w14:paraId="4D7A52D0" w14:textId="77777777" w:rsidR="007A667E" w:rsidRDefault="00C21C39">
            <w:pPr>
              <w:pStyle w:val="Lijstalinea"/>
              <w:numPr>
                <w:ilvl w:val="0"/>
                <w:numId w:val="4"/>
              </w:numPr>
              <w:spacing w:after="160" w:line="259" w:lineRule="auto"/>
            </w:pPr>
            <w:r>
              <w:t>Aandeel in Nederlandse R&amp;D-uitgaven (2017): 4,5%</w:t>
            </w:r>
          </w:p>
          <w:p w14:paraId="610B171F" w14:textId="77777777" w:rsidR="0019566C" w:rsidRDefault="00C21C39" w:rsidP="008E2141">
            <w:pPr>
              <w:pStyle w:val="Lijstalinea"/>
              <w:numPr>
                <w:ilvl w:val="0"/>
                <w:numId w:val="4"/>
              </w:numPr>
            </w:pPr>
            <w:r>
              <w:t>Het innovatie vermogen van het tuinbouwcluster levert oplossingen voor een gezonde samenleving</w:t>
            </w:r>
            <w:r w:rsidR="008E2141">
              <w:t>,</w:t>
            </w:r>
            <w:r>
              <w:t xml:space="preserve"> die </w:t>
            </w:r>
            <w:r w:rsidR="008E2141">
              <w:t xml:space="preserve">oplossingen gaan </w:t>
            </w:r>
            <w:r>
              <w:t>vanuit Nederland de wereld over</w:t>
            </w:r>
          </w:p>
          <w:p w14:paraId="100A179F" w14:textId="3D4D7EED" w:rsidR="008E2141" w:rsidRDefault="00C21C39" w:rsidP="0019566C">
            <w:pPr>
              <w:pStyle w:val="Lijstalinea"/>
            </w:pPr>
            <w:r>
              <w:t xml:space="preserve"> </w:t>
            </w:r>
          </w:p>
          <w:p w14:paraId="68C7DAB7" w14:textId="3168ADEB" w:rsidR="007A667E" w:rsidRDefault="00C21C39" w:rsidP="008E2141">
            <w:pPr>
              <w:pStyle w:val="Lijstalinea"/>
              <w:numPr>
                <w:ilvl w:val="0"/>
                <w:numId w:val="4"/>
              </w:numPr>
            </w:pPr>
            <w:r>
              <w:t xml:space="preserve"> Met gezonde, smaakvolle groenten, en  fruit en mooie, hoogwaardige bloemen en planten draagt de </w:t>
            </w:r>
            <w:r w:rsidR="008E2141">
              <w:t>t</w:t>
            </w:r>
            <w:r>
              <w:t xml:space="preserve">uinbouw bij aan ieders gezondheid en geluk. Deze leidende rol zet Nederland op de kaart. </w:t>
            </w:r>
          </w:p>
          <w:p w14:paraId="561E8090" w14:textId="77777777" w:rsidR="007A667E" w:rsidRDefault="007A667E"/>
          <w:p w14:paraId="6B36E53C" w14:textId="75B5343F" w:rsidR="007A667E" w:rsidRDefault="00C21C39">
            <w:r>
              <w:t>Specifiek</w:t>
            </w:r>
            <w:r w:rsidR="008E2141">
              <w:t>e</w:t>
            </w:r>
            <w:r>
              <w:t xml:space="preserve"> glastuinbouw kengetallen:</w:t>
            </w:r>
          </w:p>
          <w:p w14:paraId="34050F3B" w14:textId="77777777" w:rsidR="007A667E" w:rsidRDefault="00C21C39">
            <w:pPr>
              <w:pStyle w:val="Lijstalinea"/>
              <w:numPr>
                <w:ilvl w:val="0"/>
                <w:numId w:val="4"/>
              </w:numPr>
            </w:pPr>
            <w:r>
              <w:t>Er zijn in Nederland 3.137 gespecialiseerde glastuinbouwbedrijven, waarvan 1.239 glasgroente en 1.898 sierteeltbedrijven.</w:t>
            </w:r>
          </w:p>
          <w:p w14:paraId="41261B95" w14:textId="74BDE561" w:rsidR="007A667E" w:rsidRDefault="00C21C39" w:rsidP="0019566C">
            <w:pPr>
              <w:pStyle w:val="Lijstalinea"/>
              <w:numPr>
                <w:ilvl w:val="0"/>
                <w:numId w:val="4"/>
              </w:numPr>
            </w:pPr>
            <w:r>
              <w:t>10% van de Nederl</w:t>
            </w:r>
            <w:r w:rsidR="0019566C">
              <w:t>andse elektriciteits</w:t>
            </w:r>
            <w:r>
              <w:t>behoefte wordt decentraal door de glastuinbou</w:t>
            </w:r>
            <w:r w:rsidR="0019566C">
              <w:t>w sector efficiënt opgewekt (</w:t>
            </w:r>
            <w:r>
              <w:t>in piekmomenten kan dit oplopen tot 25%)</w:t>
            </w:r>
            <w:r w:rsidR="0019566C">
              <w:t>. D</w:t>
            </w:r>
            <w:r>
              <w:t xml:space="preserve">it is </w:t>
            </w:r>
            <w:r w:rsidR="0019566C">
              <w:t xml:space="preserve">een </w:t>
            </w:r>
            <w:r>
              <w:t>st</w:t>
            </w:r>
            <w:r w:rsidR="0019566C">
              <w:t>abiele factor in de turbulente energie</w:t>
            </w:r>
            <w:r>
              <w:t>transitie die we nog een aantal jaren nodig zullen hebben.</w:t>
            </w:r>
          </w:p>
        </w:tc>
      </w:tr>
    </w:tbl>
    <w:p w14:paraId="3DD30A8E" w14:textId="1144A480" w:rsidR="007A667E" w:rsidRDefault="007A667E" w:rsidP="0019566C"/>
    <w:sectPr w:rsidR="007A667E">
      <w:footerReference w:type="default" r:id="rId7"/>
      <w:pgSz w:w="11900" w:h="16840"/>
      <w:pgMar w:top="1985" w:right="1418" w:bottom="1418" w:left="1418" w:header="709"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DE772" w14:textId="77777777" w:rsidR="006A2113" w:rsidRDefault="006A2113">
      <w:r>
        <w:separator/>
      </w:r>
    </w:p>
  </w:endnote>
  <w:endnote w:type="continuationSeparator" w:id="0">
    <w:p w14:paraId="0A7300B3" w14:textId="77777777" w:rsidR="006A2113" w:rsidRDefault="006A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949A" w14:textId="77777777" w:rsidR="007A667E" w:rsidRDefault="00C21C39">
    <w:pPr>
      <w:pStyle w:val="Voettekst"/>
      <w:tabs>
        <w:tab w:val="clear" w:pos="9072"/>
        <w:tab w:val="right" w:pos="904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F0E39" w14:textId="77777777" w:rsidR="006A2113" w:rsidRDefault="006A2113">
      <w:r>
        <w:separator/>
      </w:r>
    </w:p>
  </w:footnote>
  <w:footnote w:type="continuationSeparator" w:id="0">
    <w:p w14:paraId="20155887" w14:textId="77777777" w:rsidR="006A2113" w:rsidRDefault="006A2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C6B1A"/>
    <w:multiLevelType w:val="hybridMultilevel"/>
    <w:tmpl w:val="37FC5170"/>
    <w:lvl w:ilvl="0" w:tplc="9E8AAFD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B5CD60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AB6ADB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A5C34E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AEAD8A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250242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2A8AC3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158FCF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A16B6D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FA20957"/>
    <w:multiLevelType w:val="hybridMultilevel"/>
    <w:tmpl w:val="E806B5CC"/>
    <w:styleLink w:val="Gemporteerdestijl1"/>
    <w:lvl w:ilvl="0" w:tplc="C5DABC3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E7266A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980F13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6DACB6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A26509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4D82E8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DFC7B3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368243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3AE1BF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CDD192F"/>
    <w:multiLevelType w:val="hybridMultilevel"/>
    <w:tmpl w:val="E806B5CC"/>
    <w:numStyleLink w:val="Gemporteerdestijl1"/>
  </w:abstractNum>
  <w:num w:numId="1">
    <w:abstractNumId w:val="1"/>
  </w:num>
  <w:num w:numId="2">
    <w:abstractNumId w:val="2"/>
  </w:num>
  <w:num w:numId="3">
    <w:abstractNumId w:val="2"/>
    <w:lvlOverride w:ilvl="0">
      <w:lvl w:ilvl="0" w:tplc="EA16F1C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D6421F2E">
        <w:start w:val="1"/>
        <w:numFmt w:val="bullet"/>
        <w:lvlText w:val="o"/>
        <w:lvlJc w:val="left"/>
        <w:pPr>
          <w:ind w:left="1440" w:hanging="360"/>
        </w:pPr>
        <w:rPr>
          <w:rFonts w:ascii="Courier New" w:hAnsi="Courier New" w:cs="Courier New" w:hint="default"/>
        </w:rPr>
      </w:lvl>
    </w:lvlOverride>
    <w:lvlOverride w:ilvl="2">
      <w:lvl w:ilvl="2" w:tplc="9F2CF95E" w:tentative="1">
        <w:start w:val="1"/>
        <w:numFmt w:val="bullet"/>
        <w:lvlText w:val=""/>
        <w:lvlJc w:val="left"/>
        <w:pPr>
          <w:ind w:left="2160" w:hanging="360"/>
        </w:pPr>
        <w:rPr>
          <w:rFonts w:ascii="Wingdings" w:hAnsi="Wingdings" w:hint="default"/>
        </w:rPr>
      </w:lvl>
    </w:lvlOverride>
    <w:lvlOverride w:ilvl="3">
      <w:lvl w:ilvl="3" w:tplc="3B3CE892" w:tentative="1">
        <w:start w:val="1"/>
        <w:numFmt w:val="bullet"/>
        <w:lvlText w:val=""/>
        <w:lvlJc w:val="left"/>
        <w:pPr>
          <w:ind w:left="2880" w:hanging="360"/>
        </w:pPr>
        <w:rPr>
          <w:rFonts w:ascii="Symbol" w:hAnsi="Symbol" w:hint="default"/>
        </w:rPr>
      </w:lvl>
    </w:lvlOverride>
    <w:lvlOverride w:ilvl="4">
      <w:lvl w:ilvl="4" w:tplc="B3E62A06" w:tentative="1">
        <w:start w:val="1"/>
        <w:numFmt w:val="bullet"/>
        <w:lvlText w:val="o"/>
        <w:lvlJc w:val="left"/>
        <w:pPr>
          <w:ind w:left="3600" w:hanging="360"/>
        </w:pPr>
        <w:rPr>
          <w:rFonts w:ascii="Courier New" w:hAnsi="Courier New" w:cs="Courier New" w:hint="default"/>
        </w:rPr>
      </w:lvl>
    </w:lvlOverride>
    <w:lvlOverride w:ilvl="5">
      <w:lvl w:ilvl="5" w:tplc="8682B232" w:tentative="1">
        <w:start w:val="1"/>
        <w:numFmt w:val="bullet"/>
        <w:lvlText w:val=""/>
        <w:lvlJc w:val="left"/>
        <w:pPr>
          <w:ind w:left="4320" w:hanging="360"/>
        </w:pPr>
        <w:rPr>
          <w:rFonts w:ascii="Wingdings" w:hAnsi="Wingdings" w:hint="default"/>
        </w:rPr>
      </w:lvl>
    </w:lvlOverride>
    <w:lvlOverride w:ilvl="6">
      <w:lvl w:ilvl="6" w:tplc="BC24635C" w:tentative="1">
        <w:start w:val="1"/>
        <w:numFmt w:val="bullet"/>
        <w:lvlText w:val=""/>
        <w:lvlJc w:val="left"/>
        <w:pPr>
          <w:ind w:left="5040" w:hanging="360"/>
        </w:pPr>
        <w:rPr>
          <w:rFonts w:ascii="Symbol" w:hAnsi="Symbol" w:hint="default"/>
        </w:rPr>
      </w:lvl>
    </w:lvlOverride>
    <w:lvlOverride w:ilvl="7">
      <w:lvl w:ilvl="7" w:tplc="2736916C" w:tentative="1">
        <w:start w:val="1"/>
        <w:numFmt w:val="bullet"/>
        <w:lvlText w:val="o"/>
        <w:lvlJc w:val="left"/>
        <w:pPr>
          <w:ind w:left="5760" w:hanging="360"/>
        </w:pPr>
        <w:rPr>
          <w:rFonts w:ascii="Courier New" w:hAnsi="Courier New" w:cs="Courier New" w:hint="default"/>
        </w:rPr>
      </w:lvl>
    </w:lvlOverride>
    <w:lvlOverride w:ilvl="8">
      <w:lvl w:ilvl="8" w:tplc="4E1E51A4" w:tentative="1">
        <w:start w:val="1"/>
        <w:numFmt w:val="bullet"/>
        <w:lvlText w:val=""/>
        <w:lvlJc w:val="left"/>
        <w:pPr>
          <w:ind w:left="6480" w:hanging="360"/>
        </w:pPr>
        <w:rPr>
          <w:rFonts w:ascii="Wingdings" w:hAnsi="Wingdings"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proofState w:spelling="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7E"/>
    <w:rsid w:val="0019566C"/>
    <w:rsid w:val="004D7746"/>
    <w:rsid w:val="00633B9E"/>
    <w:rsid w:val="006A2113"/>
    <w:rsid w:val="007571A2"/>
    <w:rsid w:val="0076516E"/>
    <w:rsid w:val="007A667E"/>
    <w:rsid w:val="007F4AB4"/>
    <w:rsid w:val="008C03D2"/>
    <w:rsid w:val="008E2141"/>
    <w:rsid w:val="00C21C39"/>
    <w:rsid w:val="00C83951"/>
    <w:rsid w:val="00D04205"/>
    <w:rsid w:val="00D97097"/>
    <w:rsid w:val="00DF3332"/>
    <w:rsid w:val="00E9315B"/>
    <w:rsid w:val="00F56F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D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Voettekst">
    <w:name w:val="footer"/>
    <w:pPr>
      <w:tabs>
        <w:tab w:val="center" w:pos="4536"/>
        <w:tab w:val="right" w:pos="9072"/>
      </w:tabs>
    </w:pPr>
    <w:rPr>
      <w:rFonts w:ascii="Trebuchet MS" w:hAnsi="Trebuchet MS" w:cs="Arial Unicode MS"/>
      <w:color w:val="000000"/>
      <w:sz w:val="22"/>
      <w:szCs w:val="22"/>
      <w:u w:color="000000"/>
    </w:rPr>
  </w:style>
  <w:style w:type="paragraph" w:styleId="Lijstalinea">
    <w:name w:val="List Paragraph"/>
    <w:pPr>
      <w:ind w:left="720"/>
    </w:pPr>
    <w:rPr>
      <w:rFonts w:ascii="Trebuchet MS" w:hAnsi="Trebuchet MS" w:cs="Arial Unicode MS"/>
      <w:color w:val="000000"/>
      <w:sz w:val="22"/>
      <w:szCs w:val="22"/>
      <w:u w:color="000000"/>
    </w:rPr>
  </w:style>
  <w:style w:type="numbering" w:customStyle="1" w:styleId="Gemporteerdestijl1">
    <w:name w:val="Geïmporteerde stijl 1"/>
    <w:pPr>
      <w:numPr>
        <w:numId w:val="1"/>
      </w:numPr>
    </w:pPr>
  </w:style>
  <w:style w:type="paragraph" w:styleId="Revisie">
    <w:name w:val="Revision"/>
    <w:hidden/>
    <w:uiPriority w:val="99"/>
    <w:semiHidden/>
    <w:rsid w:val="008E2141"/>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paragraph" w:styleId="Ballontekst">
    <w:name w:val="Balloon Text"/>
    <w:basedOn w:val="Standaard"/>
    <w:link w:val="BallontekstChar"/>
    <w:uiPriority w:val="99"/>
    <w:semiHidden/>
    <w:unhideWhenUsed/>
    <w:rsid w:val="00DF33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3332"/>
    <w:rPr>
      <w:rFonts w:ascii="Segoe UI" w:hAnsi="Segoe UI" w:cs="Segoe UI"/>
      <w:color w:val="000000"/>
      <w:sz w:val="18"/>
      <w:szCs w:val="18"/>
      <w:u w:color="000000"/>
      <w14:textOutline w14:w="12700" w14:cap="flat" w14:cmpd="sng" w14:algn="ctr">
        <w14:noFill/>
        <w14:prstDash w14:val="solid"/>
        <w14:miter w14:lim="400000"/>
      </w14:textOutline>
    </w:rPr>
  </w:style>
  <w:style w:type="paragraph" w:styleId="Koptekst">
    <w:name w:val="header"/>
    <w:basedOn w:val="Standaard"/>
    <w:link w:val="KoptekstChar"/>
    <w:uiPriority w:val="99"/>
    <w:unhideWhenUsed/>
    <w:rsid w:val="00F56F6E"/>
    <w:pPr>
      <w:tabs>
        <w:tab w:val="center" w:pos="4680"/>
        <w:tab w:val="right" w:pos="9360"/>
      </w:tabs>
    </w:pPr>
  </w:style>
  <w:style w:type="character" w:customStyle="1" w:styleId="KoptekstChar">
    <w:name w:val="Koptekst Char"/>
    <w:basedOn w:val="Standaardalinea-lettertype"/>
    <w:link w:val="Koptekst"/>
    <w:uiPriority w:val="99"/>
    <w:rsid w:val="00F56F6E"/>
    <w:rPr>
      <w:rFonts w:ascii="Trebuchet MS" w:hAnsi="Trebuchet MS"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2022-08-31T14:17:00Z</dcterms:created>
  <dcterms:modified xsi:type="dcterms:W3CDTF">2022-08-31T14:36:00Z</dcterms:modified>
</cp:coreProperties>
</file>